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4B6D7A">
        <w:rPr>
          <w:b/>
          <w:kern w:val="2"/>
          <w:sz w:val="28"/>
          <w:szCs w:val="28"/>
        </w:rPr>
        <w:t>но</w:t>
      </w:r>
      <w:r w:rsidR="00BC16AF">
        <w:rPr>
          <w:b/>
          <w:kern w:val="2"/>
          <w:sz w:val="28"/>
          <w:szCs w:val="28"/>
        </w:rPr>
        <w:t>ябр</w:t>
      </w:r>
      <w:r w:rsidR="00C52494">
        <w:rPr>
          <w:b/>
          <w:kern w:val="2"/>
          <w:sz w:val="28"/>
          <w:szCs w:val="28"/>
        </w:rPr>
        <w:t>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F13922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CE692B">
        <w:rPr>
          <w:kern w:val="2"/>
          <w:sz w:val="28"/>
          <w:szCs w:val="28"/>
        </w:rPr>
        <w:t>но</w:t>
      </w:r>
      <w:r w:rsidR="00BC16AF">
        <w:rPr>
          <w:kern w:val="2"/>
          <w:sz w:val="28"/>
          <w:szCs w:val="28"/>
        </w:rPr>
        <w:t>ябрь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F1392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 составила </w:t>
      </w:r>
      <w:r w:rsidR="00BC16AF">
        <w:rPr>
          <w:kern w:val="2"/>
          <w:sz w:val="28"/>
          <w:szCs w:val="28"/>
        </w:rPr>
        <w:t>42</w:t>
      </w:r>
      <w:r w:rsidR="00AC2CAF">
        <w:rPr>
          <w:kern w:val="2"/>
          <w:sz w:val="28"/>
          <w:szCs w:val="28"/>
        </w:rPr>
        <w:t>206</w:t>
      </w:r>
      <w:r w:rsidR="007E28D9">
        <w:rPr>
          <w:kern w:val="2"/>
          <w:sz w:val="28"/>
          <w:szCs w:val="28"/>
        </w:rPr>
        <w:t>,</w:t>
      </w:r>
      <w:r w:rsidR="00AC2CAF">
        <w:rPr>
          <w:kern w:val="2"/>
          <w:sz w:val="28"/>
          <w:szCs w:val="28"/>
        </w:rPr>
        <w:t>9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CE692B">
        <w:rPr>
          <w:rStyle w:val="CharacterStyle1"/>
          <w:spacing w:val="-10"/>
          <w:sz w:val="28"/>
          <w:szCs w:val="28"/>
        </w:rPr>
        <w:t>ей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AC2CAF">
        <w:rPr>
          <w:rStyle w:val="CharacterStyle1"/>
          <w:spacing w:val="-10"/>
          <w:sz w:val="28"/>
          <w:szCs w:val="28"/>
        </w:rPr>
        <w:t>ок</w:t>
      </w:r>
      <w:r w:rsidR="008F2224">
        <w:rPr>
          <w:rStyle w:val="CharacterStyle1"/>
          <w:spacing w:val="-10"/>
          <w:sz w:val="28"/>
          <w:szCs w:val="28"/>
        </w:rPr>
        <w:t>тябрем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2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313BD0">
        <w:rPr>
          <w:rStyle w:val="CharacterStyle1"/>
          <w:spacing w:val="-10"/>
          <w:sz w:val="28"/>
          <w:szCs w:val="28"/>
        </w:rPr>
        <w:t>снизился</w:t>
      </w:r>
      <w:r w:rsidRPr="00FA47FC">
        <w:rPr>
          <w:rStyle w:val="CharacterStyle1"/>
          <w:spacing w:val="-10"/>
          <w:sz w:val="28"/>
          <w:szCs w:val="28"/>
        </w:rPr>
        <w:t xml:space="preserve"> на </w:t>
      </w:r>
      <w:r w:rsidR="00AC2CAF">
        <w:rPr>
          <w:rStyle w:val="CharacterStyle1"/>
          <w:spacing w:val="-10"/>
          <w:sz w:val="28"/>
          <w:szCs w:val="28"/>
        </w:rPr>
        <w:t>0,9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AC2CAF">
        <w:rPr>
          <w:rStyle w:val="CharacterStyle1"/>
          <w:spacing w:val="-10"/>
          <w:sz w:val="28"/>
          <w:szCs w:val="28"/>
        </w:rPr>
        <w:t>но</w:t>
      </w:r>
      <w:r w:rsidR="00BC16AF">
        <w:rPr>
          <w:rStyle w:val="CharacterStyle1"/>
          <w:spacing w:val="-10"/>
          <w:sz w:val="28"/>
          <w:szCs w:val="28"/>
        </w:rPr>
        <w:t>ябрю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E03A6">
        <w:rPr>
          <w:rStyle w:val="CharacterStyle1"/>
          <w:spacing w:val="-10"/>
          <w:sz w:val="28"/>
          <w:szCs w:val="28"/>
        </w:rPr>
        <w:t>1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AC2CAF">
        <w:rPr>
          <w:rStyle w:val="CharacterStyle1"/>
          <w:spacing w:val="-10"/>
          <w:sz w:val="28"/>
          <w:szCs w:val="28"/>
        </w:rPr>
        <w:t>6,4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A741A9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н</w:t>
      </w:r>
      <w:r w:rsidR="00665D6B">
        <w:rPr>
          <w:kern w:val="2"/>
          <w:szCs w:val="24"/>
        </w:rPr>
        <w:t>о</w:t>
      </w:r>
      <w:r w:rsidR="00BC16AF">
        <w:rPr>
          <w:kern w:val="2"/>
          <w:szCs w:val="24"/>
        </w:rPr>
        <w:t>ябрь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 w:rsidR="00665D6B">
        <w:rPr>
          <w:kern w:val="2"/>
          <w:szCs w:val="24"/>
        </w:rPr>
        <w:t>но</w:t>
      </w:r>
      <w:r w:rsidR="00BC16AF">
        <w:rPr>
          <w:kern w:val="2"/>
          <w:szCs w:val="24"/>
        </w:rPr>
        <w:t>ябрю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</w:t>
      </w:r>
      <w:r w:rsidR="00A645E2">
        <w:rPr>
          <w:rFonts w:ascii="Times New Roman" w:hAnsi="Times New Roman"/>
          <w:kern w:val="2"/>
          <w:sz w:val="28"/>
          <w:szCs w:val="28"/>
          <w:lang w:val="ru-RU"/>
        </w:rPr>
        <w:t>но</w:t>
      </w:r>
      <w:r w:rsidR="00BC16AF">
        <w:rPr>
          <w:rFonts w:ascii="Times New Roman" w:hAnsi="Times New Roman"/>
          <w:kern w:val="2"/>
          <w:sz w:val="28"/>
          <w:szCs w:val="28"/>
          <w:lang w:val="ru-RU"/>
        </w:rPr>
        <w:t>ябре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F13922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окт</w:t>
      </w:r>
      <w:r w:rsidR="008F222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ябрю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E03A6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2D779C" w:rsidRPr="004B6D7A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8</w:t>
      </w:r>
      <w:r w:rsidR="00332745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7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но</w:t>
      </w:r>
      <w:r w:rsidR="00BC16A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ябрю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F13922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890659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9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5</w:t>
      </w:r>
      <w:r w:rsidR="00624D7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,</w:t>
      </w:r>
      <w:r w:rsidR="004115B0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0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4115B0">
        <w:rPr>
          <w:rStyle w:val="CharacterStyle1"/>
          <w:spacing w:val="-9"/>
          <w:sz w:val="28"/>
          <w:szCs w:val="28"/>
        </w:rPr>
        <w:t>но</w:t>
      </w:r>
      <w:r w:rsidR="00BC16AF">
        <w:rPr>
          <w:rStyle w:val="CharacterStyle1"/>
          <w:spacing w:val="-9"/>
          <w:sz w:val="28"/>
          <w:szCs w:val="28"/>
        </w:rPr>
        <w:t>ябр</w:t>
      </w:r>
      <w:r w:rsidR="00C52494">
        <w:rPr>
          <w:rStyle w:val="CharacterStyle1"/>
          <w:spacing w:val="-9"/>
          <w:sz w:val="28"/>
          <w:szCs w:val="28"/>
        </w:rPr>
        <w:t>е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E51AB8">
        <w:rPr>
          <w:rStyle w:val="CharacterStyle1"/>
          <w:spacing w:val="-9"/>
          <w:sz w:val="28"/>
          <w:szCs w:val="28"/>
        </w:rPr>
        <w:t>48</w:t>
      </w:r>
      <w:r w:rsidR="004115B0">
        <w:rPr>
          <w:rStyle w:val="CharacterStyle1"/>
          <w:spacing w:val="-9"/>
          <w:sz w:val="28"/>
          <w:szCs w:val="28"/>
        </w:rPr>
        <w:t>510</w:t>
      </w:r>
      <w:r w:rsidR="00313BD0">
        <w:rPr>
          <w:rStyle w:val="CharacterStyle1"/>
          <w:spacing w:val="-9"/>
          <w:sz w:val="28"/>
          <w:szCs w:val="28"/>
        </w:rPr>
        <w:t>,4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4115B0">
        <w:rPr>
          <w:rStyle w:val="CharacterStyle1"/>
          <w:spacing w:val="-9"/>
          <w:sz w:val="28"/>
          <w:szCs w:val="28"/>
        </w:rPr>
        <w:t>0,2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13BD0">
        <w:rPr>
          <w:rStyle w:val="CharacterStyle1"/>
          <w:color w:val="000000" w:themeColor="text1"/>
          <w:spacing w:val="-9"/>
          <w:sz w:val="28"/>
          <w:szCs w:val="28"/>
        </w:rPr>
        <w:t>ниже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4115B0">
        <w:rPr>
          <w:rStyle w:val="CharacterStyle1"/>
          <w:spacing w:val="-9"/>
          <w:sz w:val="28"/>
          <w:szCs w:val="28"/>
        </w:rPr>
        <w:t>ок</w:t>
      </w:r>
      <w:r w:rsidR="008F2224">
        <w:rPr>
          <w:rStyle w:val="CharacterStyle1"/>
          <w:spacing w:val="-9"/>
          <w:sz w:val="28"/>
          <w:szCs w:val="28"/>
        </w:rPr>
        <w:t>тябре</w:t>
      </w:r>
      <w:r w:rsidR="003D4407">
        <w:rPr>
          <w:rStyle w:val="CharacterStyle1"/>
          <w:spacing w:val="-9"/>
          <w:sz w:val="28"/>
          <w:szCs w:val="28"/>
        </w:rPr>
        <w:t xml:space="preserve"> и на 1</w:t>
      </w:r>
      <w:r w:rsidR="00E51AB8">
        <w:rPr>
          <w:rStyle w:val="CharacterStyle1"/>
          <w:spacing w:val="-9"/>
          <w:sz w:val="28"/>
          <w:szCs w:val="28"/>
        </w:rPr>
        <w:t>6</w:t>
      </w:r>
      <w:r w:rsidR="003D4407">
        <w:rPr>
          <w:rStyle w:val="CharacterStyle1"/>
          <w:spacing w:val="-9"/>
          <w:sz w:val="28"/>
          <w:szCs w:val="28"/>
        </w:rPr>
        <w:t>,</w:t>
      </w:r>
      <w:r w:rsidR="004115B0">
        <w:rPr>
          <w:rStyle w:val="CharacterStyle1"/>
          <w:spacing w:val="-9"/>
          <w:sz w:val="28"/>
          <w:szCs w:val="28"/>
        </w:rPr>
        <w:t>8</w:t>
      </w:r>
      <w:r w:rsidR="00E70ED9">
        <w:rPr>
          <w:rStyle w:val="CharacterStyle1"/>
          <w:spacing w:val="-9"/>
          <w:sz w:val="28"/>
          <w:szCs w:val="28"/>
        </w:rPr>
        <w:t>% 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4115B0">
        <w:rPr>
          <w:rStyle w:val="CharacterStyle1"/>
          <w:spacing w:val="-9"/>
          <w:sz w:val="28"/>
          <w:szCs w:val="28"/>
        </w:rPr>
        <w:t>но</w:t>
      </w:r>
      <w:r w:rsidR="00BC16AF">
        <w:rPr>
          <w:rStyle w:val="CharacterStyle1"/>
          <w:spacing w:val="-9"/>
          <w:sz w:val="28"/>
          <w:szCs w:val="28"/>
        </w:rPr>
        <w:t>ябре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4115B0">
        <w:rPr>
          <w:rStyle w:val="CharacterStyle1"/>
          <w:spacing w:val="-9"/>
          <w:sz w:val="28"/>
          <w:szCs w:val="28"/>
        </w:rPr>
        <w:t>уменьш</w:t>
      </w:r>
      <w:r w:rsidR="003D4407">
        <w:rPr>
          <w:rStyle w:val="CharacterStyle1"/>
          <w:spacing w:val="-9"/>
          <w:sz w:val="28"/>
          <w:szCs w:val="28"/>
        </w:rPr>
        <w:t>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4115B0">
        <w:rPr>
          <w:rStyle w:val="CharacterStyle1"/>
          <w:color w:val="000000" w:themeColor="text1"/>
          <w:spacing w:val="-9"/>
          <w:sz w:val="28"/>
          <w:szCs w:val="28"/>
        </w:rPr>
        <w:t>4,1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4115B0">
        <w:rPr>
          <w:rStyle w:val="CharacterStyle1"/>
          <w:color w:val="000000" w:themeColor="text1"/>
          <w:spacing w:val="-9"/>
          <w:sz w:val="28"/>
          <w:szCs w:val="28"/>
        </w:rPr>
        <w:t>но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ябрем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4115B0">
        <w:rPr>
          <w:rStyle w:val="CharacterStyle1"/>
          <w:color w:val="000000" w:themeColor="text1"/>
          <w:spacing w:val="-12"/>
          <w:sz w:val="28"/>
          <w:szCs w:val="28"/>
        </w:rPr>
        <w:t>38,8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E51AB8">
        <w:rPr>
          <w:rStyle w:val="CharacterStyle1"/>
          <w:spacing w:val="-9"/>
          <w:sz w:val="28"/>
          <w:szCs w:val="28"/>
        </w:rPr>
        <w:t>5</w:t>
      </w:r>
      <w:r w:rsidR="004115B0">
        <w:rPr>
          <w:rStyle w:val="CharacterStyle1"/>
          <w:spacing w:val="-9"/>
          <w:sz w:val="28"/>
          <w:szCs w:val="28"/>
        </w:rPr>
        <w:t>1528,7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7E28D9">
        <w:rPr>
          <w:rStyle w:val="CharacterStyle1"/>
          <w:spacing w:val="-9"/>
          <w:sz w:val="28"/>
          <w:szCs w:val="28"/>
        </w:rPr>
        <w:t>ей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047CC3">
        <w:rPr>
          <w:rStyle w:val="CharacterStyle1"/>
          <w:spacing w:val="-19"/>
          <w:sz w:val="28"/>
          <w:szCs w:val="28"/>
        </w:rPr>
        <w:t>но</w:t>
      </w:r>
      <w:r w:rsidR="00BC16AF">
        <w:rPr>
          <w:rStyle w:val="CharacterStyle1"/>
          <w:spacing w:val="-19"/>
          <w:sz w:val="28"/>
          <w:szCs w:val="28"/>
        </w:rPr>
        <w:t>ябрь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F13922">
        <w:rPr>
          <w:rStyle w:val="CharacterStyle1"/>
          <w:spacing w:val="-19"/>
          <w:sz w:val="28"/>
          <w:szCs w:val="28"/>
        </w:rPr>
        <w:t>2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047CC3">
        <w:rPr>
          <w:rStyle w:val="CharacterStyle1"/>
          <w:spacing w:val="-19"/>
          <w:sz w:val="28"/>
          <w:szCs w:val="28"/>
        </w:rPr>
        <w:t>37847,8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047CC3">
        <w:rPr>
          <w:rStyle w:val="CharacterStyle1"/>
          <w:spacing w:val="-19"/>
          <w:sz w:val="28"/>
          <w:szCs w:val="28"/>
        </w:rPr>
        <w:t>ок</w:t>
      </w:r>
      <w:r w:rsidR="008F2224">
        <w:rPr>
          <w:rStyle w:val="CharacterStyle1"/>
          <w:spacing w:val="-19"/>
          <w:sz w:val="28"/>
          <w:szCs w:val="28"/>
        </w:rPr>
        <w:t>тябрем</w:t>
      </w:r>
      <w:r w:rsidRPr="00976510">
        <w:rPr>
          <w:rStyle w:val="CharacterStyle1"/>
          <w:spacing w:val="-19"/>
          <w:sz w:val="28"/>
          <w:szCs w:val="28"/>
        </w:rPr>
        <w:t xml:space="preserve"> 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4A6CEB">
        <w:rPr>
          <w:rStyle w:val="CharacterStyle1"/>
          <w:spacing w:val="-19"/>
          <w:sz w:val="28"/>
          <w:szCs w:val="28"/>
        </w:rPr>
        <w:t>2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3518C9">
        <w:rPr>
          <w:rStyle w:val="CharacterStyle1"/>
          <w:spacing w:val="-19"/>
          <w:sz w:val="28"/>
          <w:szCs w:val="28"/>
        </w:rPr>
        <w:t>снизи</w:t>
      </w:r>
      <w:r w:rsidR="007E28D9">
        <w:rPr>
          <w:rStyle w:val="CharacterStyle1"/>
          <w:spacing w:val="-19"/>
          <w:sz w:val="28"/>
          <w:szCs w:val="28"/>
        </w:rPr>
        <w:t>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="00E70ED9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047CC3">
        <w:rPr>
          <w:rStyle w:val="CharacterStyle1"/>
          <w:color w:val="000000" w:themeColor="text1"/>
          <w:spacing w:val="-19"/>
          <w:sz w:val="28"/>
          <w:szCs w:val="28"/>
        </w:rPr>
        <w:t>1,3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047CC3">
        <w:rPr>
          <w:rStyle w:val="CharacterStyle1"/>
          <w:spacing w:val="-10"/>
          <w:sz w:val="28"/>
          <w:szCs w:val="28"/>
        </w:rPr>
        <w:t>но</w:t>
      </w:r>
      <w:r w:rsidR="00BC16AF">
        <w:rPr>
          <w:rStyle w:val="CharacterStyle1"/>
          <w:spacing w:val="-10"/>
          <w:sz w:val="28"/>
          <w:szCs w:val="28"/>
        </w:rPr>
        <w:t>ябрем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F13922">
        <w:rPr>
          <w:rStyle w:val="CharacterStyle1"/>
          <w:spacing w:val="-10"/>
          <w:sz w:val="28"/>
          <w:szCs w:val="28"/>
        </w:rPr>
        <w:t>1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7E28D9">
        <w:rPr>
          <w:rStyle w:val="CharacterStyle1"/>
          <w:spacing w:val="-10"/>
          <w:sz w:val="28"/>
          <w:szCs w:val="28"/>
        </w:rPr>
        <w:t>вырос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047CC3">
        <w:rPr>
          <w:rStyle w:val="CharacterStyle1"/>
          <w:color w:val="000000" w:themeColor="text1"/>
          <w:spacing w:val="-10"/>
          <w:sz w:val="28"/>
          <w:szCs w:val="28"/>
        </w:rPr>
        <w:t>4</w:t>
      </w:r>
      <w:r w:rsidR="004D1EAD">
        <w:rPr>
          <w:rStyle w:val="CharacterStyle1"/>
          <w:color w:val="000000" w:themeColor="text1"/>
          <w:spacing w:val="-10"/>
          <w:sz w:val="28"/>
          <w:szCs w:val="28"/>
        </w:rPr>
        <w:t>,7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F363F1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F6708D">
        <w:rPr>
          <w:rStyle w:val="CharacterStyle1"/>
          <w:spacing w:val="-9"/>
          <w:sz w:val="28"/>
          <w:szCs w:val="28"/>
        </w:rPr>
        <w:t>но</w:t>
      </w:r>
      <w:r w:rsidR="00BC16AF">
        <w:rPr>
          <w:rStyle w:val="CharacterStyle1"/>
          <w:spacing w:val="-9"/>
          <w:sz w:val="28"/>
          <w:szCs w:val="28"/>
        </w:rPr>
        <w:t>ябре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F13922">
        <w:rPr>
          <w:rStyle w:val="CharacterStyle1"/>
          <w:spacing w:val="-9"/>
          <w:sz w:val="28"/>
          <w:szCs w:val="28"/>
        </w:rPr>
        <w:t>2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F6708D">
        <w:rPr>
          <w:rStyle w:val="CharacterStyle1"/>
          <w:spacing w:val="-9"/>
          <w:sz w:val="28"/>
          <w:szCs w:val="28"/>
        </w:rPr>
        <w:t>ок</w:t>
      </w:r>
      <w:r w:rsidR="008F2224">
        <w:rPr>
          <w:rStyle w:val="CharacterStyle1"/>
          <w:spacing w:val="-9"/>
          <w:sz w:val="28"/>
          <w:szCs w:val="28"/>
        </w:rPr>
        <w:t>тябре</w:t>
      </w:r>
      <w:r w:rsidR="00BC16AF">
        <w:rPr>
          <w:rStyle w:val="CharacterStyle1"/>
          <w:spacing w:val="-9"/>
          <w:sz w:val="28"/>
          <w:szCs w:val="28"/>
        </w:rPr>
        <w:t>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3A11E2">
        <w:rPr>
          <w:rStyle w:val="CharacterStyle1"/>
          <w:spacing w:val="-9"/>
          <w:sz w:val="28"/>
          <w:szCs w:val="28"/>
        </w:rPr>
        <w:t>2</w:t>
      </w:r>
      <w:r w:rsidR="00FD02EC" w:rsidRPr="00976510">
        <w:rPr>
          <w:rStyle w:val="CharacterStyle1"/>
          <w:spacing w:val="-9"/>
          <w:sz w:val="28"/>
          <w:szCs w:val="28"/>
        </w:rPr>
        <w:t xml:space="preserve"> 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F6708D">
        <w:rPr>
          <w:rStyle w:val="CharacterStyle1"/>
          <w:spacing w:val="-9"/>
          <w:sz w:val="28"/>
          <w:szCs w:val="28"/>
        </w:rPr>
        <w:t>увелич</w:t>
      </w:r>
      <w:r w:rsidR="004D1EAD">
        <w:rPr>
          <w:rStyle w:val="CharacterStyle1"/>
          <w:spacing w:val="-9"/>
          <w:sz w:val="28"/>
          <w:szCs w:val="28"/>
        </w:rPr>
        <w:t>и</w:t>
      </w:r>
      <w:r w:rsidR="00764787">
        <w:rPr>
          <w:rStyle w:val="CharacterStyle1"/>
          <w:spacing w:val="-9"/>
          <w:sz w:val="28"/>
          <w:szCs w:val="28"/>
        </w:rPr>
        <w:t>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4D1EAD">
        <w:rPr>
          <w:rStyle w:val="CharacterStyle1"/>
          <w:color w:val="000000" w:themeColor="text1"/>
          <w:spacing w:val="-9"/>
          <w:sz w:val="28"/>
          <w:szCs w:val="28"/>
        </w:rPr>
        <w:t>4,3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F6708D">
        <w:rPr>
          <w:rStyle w:val="CharacterStyle1"/>
          <w:color w:val="000000" w:themeColor="text1"/>
          <w:spacing w:val="-9"/>
          <w:sz w:val="28"/>
          <w:szCs w:val="28"/>
        </w:rPr>
        <w:t>62380,2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E51AB8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 сравнению с </w:t>
      </w:r>
      <w:r w:rsidR="00F6708D">
        <w:rPr>
          <w:rStyle w:val="CharacterStyle1"/>
          <w:color w:val="000000" w:themeColor="text1"/>
          <w:spacing w:val="-9"/>
          <w:sz w:val="28"/>
          <w:szCs w:val="28"/>
        </w:rPr>
        <w:t>но</w:t>
      </w:r>
      <w:r w:rsidR="00BC16AF">
        <w:rPr>
          <w:rStyle w:val="CharacterStyle1"/>
          <w:color w:val="000000" w:themeColor="text1"/>
          <w:spacing w:val="-9"/>
          <w:sz w:val="28"/>
          <w:szCs w:val="28"/>
        </w:rPr>
        <w:t>ябрем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F6708D">
        <w:rPr>
          <w:rStyle w:val="CharacterStyle1"/>
          <w:color w:val="000000" w:themeColor="text1"/>
          <w:spacing w:val="-9"/>
          <w:sz w:val="28"/>
          <w:szCs w:val="28"/>
        </w:rPr>
        <w:t>32,5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F6708D">
        <w:rPr>
          <w:rStyle w:val="CharacterStyle1"/>
          <w:spacing w:val="-11"/>
          <w:sz w:val="28"/>
          <w:szCs w:val="28"/>
        </w:rPr>
        <w:t>39715,3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7,3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ниж</w:t>
      </w:r>
      <w:r w:rsidR="00764787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ок</w:t>
      </w:r>
      <w:r w:rsidR="008F2224">
        <w:rPr>
          <w:rStyle w:val="CharacterStyle1"/>
          <w:color w:val="000000" w:themeColor="text1"/>
          <w:spacing w:val="-11"/>
          <w:sz w:val="28"/>
          <w:szCs w:val="28"/>
        </w:rPr>
        <w:t>тябр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4A6CEB">
        <w:rPr>
          <w:rStyle w:val="CharacterStyle1"/>
          <w:color w:val="000000" w:themeColor="text1"/>
          <w:spacing w:val="-11"/>
          <w:sz w:val="28"/>
          <w:szCs w:val="28"/>
        </w:rPr>
        <w:t xml:space="preserve"> 2022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5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ниж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E9762B" w:rsidRPr="007606EB" w:rsidRDefault="00087034" w:rsidP="00A62DB1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но</w:t>
      </w:r>
      <w:r w:rsidR="00BC16AF">
        <w:rPr>
          <w:rStyle w:val="CharacterStyle1"/>
          <w:color w:val="000000" w:themeColor="text1"/>
          <w:spacing w:val="-11"/>
          <w:sz w:val="28"/>
          <w:szCs w:val="28"/>
        </w:rPr>
        <w:t>ябре</w:t>
      </w:r>
      <w:r w:rsidR="00282775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F13922" w:rsidRPr="00282775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77,9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A62DB1">
        <w:t xml:space="preserve"> </w:t>
      </w:r>
      <w:r w:rsidR="003518C9" w:rsidRPr="003518C9">
        <w:rPr>
          <w:sz w:val="28"/>
          <w:szCs w:val="28"/>
        </w:rPr>
        <w:t xml:space="preserve">образование (выше на 47,8%), 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деятельность в области  информации и связи </w:t>
      </w:r>
      <w:r w:rsidR="00751E17" w:rsidRPr="005403B4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35,6</w:t>
      </w:r>
      <w:r w:rsidR="00751E17">
        <w:rPr>
          <w:rStyle w:val="CharacterStyle1"/>
          <w:color w:val="000000" w:themeColor="text1"/>
          <w:spacing w:val="-11"/>
          <w:sz w:val="28"/>
          <w:szCs w:val="28"/>
        </w:rPr>
        <w:t xml:space="preserve">%), </w:t>
      </w:r>
      <w:r w:rsidR="00C73EB1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C73EB1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C625F4">
        <w:rPr>
          <w:rStyle w:val="CharacterStyle1"/>
          <w:color w:val="000000" w:themeColor="text1"/>
          <w:spacing w:val="-11"/>
          <w:sz w:val="28"/>
          <w:szCs w:val="28"/>
        </w:rPr>
        <w:t xml:space="preserve"> кондиционирование </w:t>
      </w:r>
      <w:r w:rsidR="00C73EB1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C625F4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2C3B9A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C73EB1">
        <w:rPr>
          <w:rStyle w:val="CharacterStyle1"/>
          <w:color w:val="000000" w:themeColor="text1"/>
          <w:spacing w:val="-11"/>
          <w:sz w:val="28"/>
          <w:szCs w:val="28"/>
        </w:rPr>
        <w:t>на</w:t>
      </w:r>
      <w:proofErr w:type="gramEnd"/>
      <w:r w:rsidR="00C73EB1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F6708D">
        <w:rPr>
          <w:rStyle w:val="CharacterStyle1"/>
          <w:color w:val="000000" w:themeColor="text1"/>
          <w:spacing w:val="-11"/>
          <w:sz w:val="28"/>
          <w:szCs w:val="28"/>
        </w:rPr>
        <w:t>32</w:t>
      </w:r>
      <w:r w:rsidR="00765416">
        <w:rPr>
          <w:rStyle w:val="CharacterStyle1"/>
          <w:color w:val="000000" w:themeColor="text1"/>
          <w:spacing w:val="-11"/>
          <w:sz w:val="28"/>
          <w:szCs w:val="28"/>
        </w:rPr>
        <w:t>,6</w:t>
      </w:r>
      <w:r w:rsidR="003518C9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765416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 xml:space="preserve">, </w:t>
      </w:r>
      <w:r w:rsidR="00765416">
        <w:rPr>
          <w:rStyle w:val="CharacterStyle1"/>
          <w:color w:val="000000" w:themeColor="text1"/>
          <w:spacing w:val="-11"/>
          <w:sz w:val="28"/>
          <w:szCs w:val="28"/>
        </w:rPr>
        <w:t>транспортировка и хранение</w:t>
      </w:r>
      <w:r w:rsidR="002C3B9A" w:rsidRPr="005403B4">
        <w:rPr>
          <w:rStyle w:val="CharacterStyle1"/>
          <w:color w:val="000000" w:themeColor="text1"/>
          <w:spacing w:val="-11"/>
          <w:sz w:val="28"/>
          <w:szCs w:val="28"/>
        </w:rPr>
        <w:t xml:space="preserve"> (выше </w:t>
      </w:r>
      <w:r w:rsidR="00220728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2</w:t>
      </w:r>
      <w:r w:rsidR="00F07EFE">
        <w:rPr>
          <w:rStyle w:val="CharacterStyle1"/>
          <w:color w:val="000000" w:themeColor="text1"/>
          <w:spacing w:val="-11"/>
          <w:sz w:val="28"/>
          <w:szCs w:val="28"/>
        </w:rPr>
        <w:t>6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765416">
        <w:rPr>
          <w:rStyle w:val="CharacterStyle1"/>
          <w:color w:val="000000" w:themeColor="text1"/>
          <w:spacing w:val="-11"/>
          <w:sz w:val="28"/>
          <w:szCs w:val="28"/>
        </w:rPr>
        <w:t>9</w:t>
      </w:r>
      <w:r w:rsidR="00220728">
        <w:rPr>
          <w:rStyle w:val="CharacterStyle1"/>
          <w:color w:val="000000" w:themeColor="text1"/>
          <w:spacing w:val="-11"/>
          <w:sz w:val="28"/>
          <w:szCs w:val="28"/>
        </w:rPr>
        <w:t>%)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>.</w:t>
      </w:r>
    </w:p>
    <w:p w:rsidR="0022784F" w:rsidRPr="00115AEE" w:rsidRDefault="0022784F" w:rsidP="00115AEE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FF0000"/>
          <w:spacing w:val="-11"/>
          <w:sz w:val="28"/>
          <w:szCs w:val="28"/>
          <w:lang w:val="uk-UA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765416">
        <w:rPr>
          <w:rStyle w:val="CharacterStyle1"/>
          <w:spacing w:val="-11"/>
          <w:sz w:val="28"/>
          <w:szCs w:val="28"/>
        </w:rPr>
        <w:t>но</w:t>
      </w:r>
      <w:r w:rsidR="00BC16AF">
        <w:rPr>
          <w:rStyle w:val="CharacterStyle1"/>
          <w:spacing w:val="-11"/>
          <w:sz w:val="28"/>
          <w:szCs w:val="28"/>
        </w:rPr>
        <w:t>ябре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F13922">
        <w:rPr>
          <w:rStyle w:val="CharacterStyle1"/>
          <w:spacing w:val="-11"/>
          <w:sz w:val="28"/>
          <w:szCs w:val="28"/>
        </w:rPr>
        <w:t>2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 xml:space="preserve">торговля оптовая и розничная (ниже на 46,2%),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765416">
        <w:rPr>
          <w:rStyle w:val="CharacterStyle1"/>
          <w:spacing w:val="-11"/>
          <w:sz w:val="28"/>
          <w:szCs w:val="28"/>
        </w:rPr>
        <w:t>(ниже на 45,7%),</w:t>
      </w:r>
      <w:r w:rsidR="009031A1">
        <w:rPr>
          <w:rStyle w:val="CharacterStyle1"/>
          <w:spacing w:val="-11"/>
          <w:sz w:val="28"/>
          <w:szCs w:val="28"/>
        </w:rPr>
        <w:t xml:space="preserve"> </w:t>
      </w:r>
      <w:r w:rsidR="004157E0">
        <w:rPr>
          <w:rStyle w:val="CharacterStyle1"/>
          <w:spacing w:val="-11"/>
          <w:sz w:val="28"/>
          <w:szCs w:val="28"/>
        </w:rPr>
        <w:t xml:space="preserve">деятельность по операциям с недвижимым имуществом </w:t>
      </w:r>
      <w:r w:rsidR="00065C6B">
        <w:rPr>
          <w:rStyle w:val="CharacterStyle1"/>
          <w:spacing w:val="-11"/>
          <w:sz w:val="28"/>
          <w:szCs w:val="28"/>
        </w:rPr>
        <w:t>(ниже</w:t>
      </w:r>
      <w:r w:rsidR="00065C6B" w:rsidRPr="00B10C4E">
        <w:rPr>
          <w:rStyle w:val="CharacterStyle1"/>
          <w:spacing w:val="-11"/>
          <w:sz w:val="28"/>
          <w:szCs w:val="28"/>
        </w:rPr>
        <w:t xml:space="preserve"> </w:t>
      </w:r>
      <w:r w:rsidR="00065C6B">
        <w:rPr>
          <w:rStyle w:val="CharacterStyle1"/>
          <w:spacing w:val="-11"/>
          <w:sz w:val="28"/>
          <w:szCs w:val="28"/>
        </w:rPr>
        <w:t xml:space="preserve">на </w:t>
      </w:r>
      <w:r w:rsidR="00E51AB8">
        <w:rPr>
          <w:rStyle w:val="CharacterStyle1"/>
          <w:spacing w:val="-11"/>
          <w:sz w:val="28"/>
          <w:szCs w:val="28"/>
        </w:rPr>
        <w:t>4</w:t>
      </w:r>
      <w:r w:rsidR="00765416">
        <w:rPr>
          <w:rStyle w:val="CharacterStyle1"/>
          <w:spacing w:val="-11"/>
          <w:sz w:val="28"/>
          <w:szCs w:val="28"/>
        </w:rPr>
        <w:t>0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765416">
        <w:rPr>
          <w:rStyle w:val="CharacterStyle1"/>
          <w:spacing w:val="-11"/>
          <w:sz w:val="28"/>
          <w:szCs w:val="28"/>
        </w:rPr>
        <w:t>7</w:t>
      </w:r>
      <w:r w:rsidR="00065C6B">
        <w:rPr>
          <w:rStyle w:val="CharacterStyle1"/>
          <w:spacing w:val="-11"/>
          <w:sz w:val="28"/>
          <w:szCs w:val="28"/>
        </w:rPr>
        <w:t xml:space="preserve">%), </w:t>
      </w:r>
      <w:r w:rsidR="004157E0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4157E0">
        <w:rPr>
          <w:rStyle w:val="CharacterStyle1"/>
          <w:spacing w:val="-11"/>
          <w:sz w:val="28"/>
          <w:szCs w:val="28"/>
        </w:rPr>
        <w:t xml:space="preserve"> дополнительные услуги</w:t>
      </w:r>
      <w:r w:rsidR="00E51AB8">
        <w:rPr>
          <w:rStyle w:val="CharacterStyle1"/>
          <w:spacing w:val="-11"/>
          <w:sz w:val="28"/>
          <w:szCs w:val="28"/>
        </w:rPr>
        <w:t xml:space="preserve"> </w:t>
      </w:r>
      <w:r w:rsidR="004157E0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765416">
        <w:rPr>
          <w:rStyle w:val="CharacterStyle1"/>
          <w:spacing w:val="-11"/>
          <w:sz w:val="28"/>
          <w:szCs w:val="28"/>
        </w:rPr>
        <w:t>34,1</w:t>
      </w:r>
      <w:r w:rsidR="004157E0" w:rsidRPr="00EB1D65">
        <w:rPr>
          <w:rStyle w:val="CharacterStyle1"/>
          <w:spacing w:val="-11"/>
          <w:sz w:val="28"/>
          <w:szCs w:val="28"/>
        </w:rPr>
        <w:t>%)</w:t>
      </w:r>
      <w:r w:rsidR="004157E0">
        <w:rPr>
          <w:rStyle w:val="CharacterStyle1"/>
          <w:spacing w:val="-11"/>
          <w:sz w:val="28"/>
          <w:szCs w:val="28"/>
        </w:rPr>
        <w:t xml:space="preserve">, </w:t>
      </w:r>
      <w:r w:rsidR="00F07EFE">
        <w:rPr>
          <w:rStyle w:val="CharacterStyle1"/>
          <w:spacing w:val="-11"/>
          <w:sz w:val="28"/>
          <w:szCs w:val="28"/>
        </w:rPr>
        <w:t>деятельность профессиональная, научная и техническая</w:t>
      </w:r>
      <w:r w:rsidR="00AA189D" w:rsidRPr="00AA189D">
        <w:rPr>
          <w:rStyle w:val="CharacterStyle1"/>
          <w:spacing w:val="-11"/>
          <w:sz w:val="28"/>
          <w:szCs w:val="28"/>
        </w:rPr>
        <w:t xml:space="preserve"> </w:t>
      </w:r>
      <w:r w:rsidR="00134D14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E51AB8">
        <w:rPr>
          <w:rStyle w:val="CharacterStyle1"/>
          <w:spacing w:val="-11"/>
          <w:sz w:val="28"/>
          <w:szCs w:val="28"/>
        </w:rPr>
        <w:t>3</w:t>
      </w:r>
      <w:r w:rsidR="00765416">
        <w:rPr>
          <w:rStyle w:val="CharacterStyle1"/>
          <w:spacing w:val="-11"/>
          <w:sz w:val="28"/>
          <w:szCs w:val="28"/>
        </w:rPr>
        <w:t>2</w:t>
      </w:r>
      <w:r w:rsidR="00E51AB8">
        <w:rPr>
          <w:rStyle w:val="CharacterStyle1"/>
          <w:spacing w:val="-11"/>
          <w:sz w:val="28"/>
          <w:szCs w:val="28"/>
        </w:rPr>
        <w:t>,</w:t>
      </w:r>
      <w:r w:rsidR="00765416">
        <w:rPr>
          <w:rStyle w:val="CharacterStyle1"/>
          <w:spacing w:val="-11"/>
          <w:sz w:val="28"/>
          <w:szCs w:val="28"/>
        </w:rPr>
        <w:t>2</w:t>
      </w:r>
      <w:r w:rsidR="00134D14" w:rsidRPr="00EB1D65">
        <w:rPr>
          <w:rStyle w:val="CharacterStyle1"/>
          <w:spacing w:val="-11"/>
          <w:sz w:val="28"/>
          <w:szCs w:val="28"/>
        </w:rPr>
        <w:t>%)</w:t>
      </w:r>
      <w:r w:rsidR="00765416">
        <w:rPr>
          <w:rStyle w:val="CharacterStyle1"/>
          <w:spacing w:val="-11"/>
          <w:sz w:val="28"/>
          <w:szCs w:val="28"/>
        </w:rPr>
        <w:t>.</w:t>
      </w:r>
    </w:p>
    <w:p w:rsidR="00C16860" w:rsidRDefault="00C16860" w:rsidP="00115AEE">
      <w:pPr>
        <w:pStyle w:val="a3"/>
        <w:jc w:val="both"/>
        <w:rPr>
          <w:sz w:val="24"/>
          <w:szCs w:val="24"/>
        </w:rPr>
      </w:pPr>
    </w:p>
    <w:p w:rsidR="00C16860" w:rsidRPr="009D40CD" w:rsidRDefault="00C16860" w:rsidP="00115AEE">
      <w:pPr>
        <w:pStyle w:val="a3"/>
        <w:jc w:val="both"/>
        <w:rPr>
          <w:sz w:val="24"/>
          <w:szCs w:val="24"/>
        </w:rPr>
      </w:pP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Default="003518C9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5C32D7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A4F83"/>
    <w:rsid w:val="000A5D3B"/>
    <w:rsid w:val="000A61CC"/>
    <w:rsid w:val="000B538C"/>
    <w:rsid w:val="000B5545"/>
    <w:rsid w:val="000D1353"/>
    <w:rsid w:val="000D635B"/>
    <w:rsid w:val="000E03A6"/>
    <w:rsid w:val="000E2FDB"/>
    <w:rsid w:val="000E52FC"/>
    <w:rsid w:val="000F27CE"/>
    <w:rsid w:val="000F6EF7"/>
    <w:rsid w:val="00103392"/>
    <w:rsid w:val="00103E26"/>
    <w:rsid w:val="00106969"/>
    <w:rsid w:val="00107076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B16B9"/>
    <w:rsid w:val="001B3756"/>
    <w:rsid w:val="001B49E9"/>
    <w:rsid w:val="001B4D41"/>
    <w:rsid w:val="001B6349"/>
    <w:rsid w:val="001B676A"/>
    <w:rsid w:val="001B6E54"/>
    <w:rsid w:val="001E1B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38F1"/>
    <w:rsid w:val="00440AB4"/>
    <w:rsid w:val="00447248"/>
    <w:rsid w:val="00450F44"/>
    <w:rsid w:val="00451C8A"/>
    <w:rsid w:val="00455B08"/>
    <w:rsid w:val="0045719A"/>
    <w:rsid w:val="00467157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60F94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7A9F"/>
    <w:rsid w:val="00CC0BB7"/>
    <w:rsid w:val="00CC488A"/>
    <w:rsid w:val="00CC6E0F"/>
    <w:rsid w:val="00CC6FBF"/>
    <w:rsid w:val="00CD3F2C"/>
    <w:rsid w:val="00CD6232"/>
    <w:rsid w:val="00CE054F"/>
    <w:rsid w:val="00CE692B"/>
    <w:rsid w:val="00CF1B8E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10EF"/>
    <w:rsid w:val="00D65E8B"/>
    <w:rsid w:val="00D70C2C"/>
    <w:rsid w:val="00D73E45"/>
    <w:rsid w:val="00D85AE6"/>
    <w:rsid w:val="00D8608B"/>
    <w:rsid w:val="00D87ADF"/>
    <w:rsid w:val="00D92937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6D0E"/>
    <w:rsid w:val="00EB7143"/>
    <w:rsid w:val="00EC00BC"/>
    <w:rsid w:val="00EC0F59"/>
    <w:rsid w:val="00EE07D6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10.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2</a:t>
                    </a:r>
                    <a:r>
                      <a:rPr lang="ru-RU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110.04</c:v>
                </c:pt>
                <c:pt idx="1">
                  <c:v>112.04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118.7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106.4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118.7</c:v>
                </c:pt>
                <c:pt idx="1">
                  <c:v>106.4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107.9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5</a:t>
                    </a:r>
                    <a:r>
                      <a:rPr lang="en-US"/>
                      <a:t>.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2021</c:v>
                </c:pt>
                <c:pt idx="1">
                  <c:v>2022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107.9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66464"/>
        <c:axId val="100929536"/>
      </c:barChart>
      <c:catAx>
        <c:axId val="3516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929536"/>
        <c:crosses val="autoZero"/>
        <c:auto val="1"/>
        <c:lblAlgn val="ctr"/>
        <c:lblOffset val="100"/>
        <c:noMultiLvlLbl val="0"/>
      </c:catAx>
      <c:valAx>
        <c:axId val="10092953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35166464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112A-2615-4D9F-9F86-DBC06B22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10</cp:revision>
  <cp:lastPrinted>2023-01-12T07:52:00Z</cp:lastPrinted>
  <dcterms:created xsi:type="dcterms:W3CDTF">2023-01-12T06:36:00Z</dcterms:created>
  <dcterms:modified xsi:type="dcterms:W3CDTF">2023-01-18T07:30:00Z</dcterms:modified>
</cp:coreProperties>
</file>